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DD331D" w:rsidTr="0001459C">
        <w:tc>
          <w:tcPr>
            <w:tcW w:w="10041" w:type="dxa"/>
            <w:gridSpan w:val="2"/>
          </w:tcPr>
          <w:p w:rsidR="00B022F4" w:rsidRDefault="00B022F4" w:rsidP="00847E3C">
            <w:pPr>
              <w:jc w:val="center"/>
              <w:rPr>
                <w:b/>
                <w:color w:val="FF00FF"/>
              </w:rPr>
            </w:pPr>
          </w:p>
          <w:p w:rsidR="00D453F3" w:rsidRDefault="008F315E" w:rsidP="00B022F4">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7E6367" w:rsidRPr="00C81D76" w:rsidRDefault="001D1D26" w:rsidP="007E6367">
            <w:pPr>
              <w:jc w:val="center"/>
              <w:rPr>
                <w:b/>
              </w:rPr>
            </w:pPr>
            <w:r w:rsidRPr="00C81D76">
              <w:rPr>
                <w:b/>
              </w:rPr>
              <w:t>Grade</w:t>
            </w:r>
            <w:r w:rsidR="0026773F" w:rsidRPr="00C81D76">
              <w:rPr>
                <w:b/>
              </w:rPr>
              <w:t xml:space="preserve"> 3</w:t>
            </w:r>
          </w:p>
          <w:p w:rsidR="001D1D26" w:rsidRPr="00C81D76" w:rsidRDefault="00742B87" w:rsidP="007E6367">
            <w:pPr>
              <w:jc w:val="center"/>
              <w:rPr>
                <w:b/>
              </w:rPr>
            </w:pPr>
            <w:r>
              <w:rPr>
                <w:b/>
              </w:rPr>
              <w:t>Tetrominoes and Monomino Patterns</w:t>
            </w:r>
          </w:p>
          <w:p w:rsidR="00B022F4" w:rsidRPr="00DD331D" w:rsidRDefault="00B022F4" w:rsidP="00B022F4">
            <w:pPr>
              <w:jc w:val="center"/>
              <w:rPr>
                <w:b/>
              </w:rPr>
            </w:pPr>
          </w:p>
        </w:tc>
      </w:tr>
      <w:tr w:rsidR="00D453F3" w:rsidTr="0001459C">
        <w:tc>
          <w:tcPr>
            <w:tcW w:w="1710" w:type="dxa"/>
          </w:tcPr>
          <w:p w:rsidR="00D453F3" w:rsidRPr="00A83110" w:rsidRDefault="00F766F4" w:rsidP="00847E3C">
            <w:pPr>
              <w:ind w:right="-275"/>
              <w:rPr>
                <w:b/>
              </w:rPr>
            </w:pPr>
            <w:r>
              <w:rPr>
                <w:b/>
              </w:rPr>
              <w:t>Description:</w:t>
            </w:r>
          </w:p>
        </w:tc>
        <w:tc>
          <w:tcPr>
            <w:tcW w:w="8331" w:type="dxa"/>
          </w:tcPr>
          <w:p w:rsidR="00FF2BFE" w:rsidRDefault="00056B3D" w:rsidP="001D1D26">
            <w:r>
              <w:t>Students will:</w:t>
            </w:r>
          </w:p>
          <w:p w:rsidR="00E57BC7" w:rsidRDefault="00401D8E" w:rsidP="001D1D26">
            <w:r>
              <w:t xml:space="preserve">Make a set of </w:t>
            </w:r>
            <w:r w:rsidR="009E61B2">
              <w:t>tetrominoes</w:t>
            </w:r>
            <w:r w:rsidR="00E57BC7">
              <w:t>.</w:t>
            </w:r>
          </w:p>
          <w:p w:rsidR="00D35552" w:rsidRDefault="009E61B2" w:rsidP="001D1D26">
            <w:r>
              <w:t xml:space="preserve">Use a playfield </w:t>
            </w:r>
            <w:r w:rsidR="00D35552">
              <w:t>grid.</w:t>
            </w:r>
          </w:p>
          <w:p w:rsidR="00D35552" w:rsidRDefault="00D35552" w:rsidP="001D1D26">
            <w:r>
              <w:t xml:space="preserve">Decide the size of playfield and the </w:t>
            </w:r>
            <w:r w:rsidR="00401D8E">
              <w:t>scale</w:t>
            </w:r>
            <w:r w:rsidR="00E57BC7">
              <w:t xml:space="preserve"> of its grid</w:t>
            </w:r>
            <w:r>
              <w:t>.</w:t>
            </w:r>
          </w:p>
          <w:p w:rsidR="00D35552" w:rsidRDefault="00E57BC7" w:rsidP="001D1D26">
            <w:r>
              <w:t xml:space="preserve">Analyze </w:t>
            </w:r>
            <w:r w:rsidR="00077961">
              <w:t xml:space="preserve">how many shapes can be made of </w:t>
            </w:r>
            <w:r w:rsidR="00D35552">
              <w:t xml:space="preserve">four </w:t>
            </w:r>
            <w:r w:rsidR="00916331">
              <w:t xml:space="preserve">connected </w:t>
            </w:r>
            <w:r w:rsidR="00D35552">
              <w:t xml:space="preserve">dots </w:t>
            </w:r>
            <w:r w:rsidR="00916331">
              <w:t xml:space="preserve">with centers </w:t>
            </w:r>
            <w:r w:rsidR="00077961">
              <w:t xml:space="preserve">on horizontal or vertical lines. </w:t>
            </w:r>
          </w:p>
          <w:p w:rsidR="00916331" w:rsidRDefault="00916331" w:rsidP="001D1D26">
            <w:r>
              <w:t>Create each four piece shape as an object.</w:t>
            </w:r>
          </w:p>
          <w:p w:rsidR="00E57BC7" w:rsidRDefault="00D35552" w:rsidP="001D1D26">
            <w:r>
              <w:t xml:space="preserve">Discover </w:t>
            </w:r>
            <w:r w:rsidR="00E57BC7">
              <w:t>a</w:t>
            </w:r>
            <w:r w:rsidR="00916331">
              <w:t>nd apply patterns of menu options</w:t>
            </w:r>
            <w:r w:rsidR="00401D8E">
              <w:t>.</w:t>
            </w:r>
          </w:p>
        </w:tc>
      </w:tr>
      <w:tr w:rsidR="0060648C" w:rsidTr="0001459C">
        <w:tc>
          <w:tcPr>
            <w:tcW w:w="1710" w:type="dxa"/>
          </w:tcPr>
          <w:p w:rsidR="0060648C" w:rsidRDefault="0022273D" w:rsidP="00847E3C">
            <w:pPr>
              <w:ind w:right="-275"/>
              <w:rPr>
                <w:b/>
              </w:rPr>
            </w:pPr>
            <w:r>
              <w:rPr>
                <w:b/>
              </w:rPr>
              <w:t>Project View</w:t>
            </w:r>
          </w:p>
        </w:tc>
        <w:tc>
          <w:tcPr>
            <w:tcW w:w="8331" w:type="dxa"/>
          </w:tcPr>
          <w:p w:rsidR="00A01873" w:rsidRDefault="00A01873" w:rsidP="00C81D76">
            <w:pPr>
              <w:jc w:val="center"/>
              <w:rPr>
                <w:b/>
              </w:rPr>
            </w:pPr>
          </w:p>
          <w:p w:rsidR="00C81D76" w:rsidRDefault="007A3951" w:rsidP="00C81D76">
            <w:pPr>
              <w:jc w:val="center"/>
            </w:pPr>
            <w:r>
              <w:rPr>
                <w:noProof/>
              </w:rPr>
              <w:drawing>
                <wp:inline distT="0" distB="0" distL="0" distR="0">
                  <wp:extent cx="3657600" cy="2859024"/>
                  <wp:effectExtent l="19050" t="0" r="0" b="0"/>
                  <wp:docPr id="2" name="Picture 1" descr="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s.png"/>
                          <pic:cNvPicPr/>
                        </pic:nvPicPr>
                        <pic:blipFill>
                          <a:blip r:embed="rId7" cstate="print"/>
                          <a:stretch>
                            <a:fillRect/>
                          </a:stretch>
                        </pic:blipFill>
                        <pic:spPr>
                          <a:xfrm>
                            <a:off x="0" y="0"/>
                            <a:ext cx="3657600" cy="2859024"/>
                          </a:xfrm>
                          <a:prstGeom prst="rect">
                            <a:avLst/>
                          </a:prstGeom>
                        </pic:spPr>
                      </pic:pic>
                    </a:graphicData>
                  </a:graphic>
                </wp:inline>
              </w:drawing>
            </w:r>
          </w:p>
          <w:p w:rsidR="00C81D76" w:rsidRDefault="00C81D76" w:rsidP="00A01873"/>
        </w:tc>
      </w:tr>
      <w:tr w:rsidR="00D453F3" w:rsidTr="0001459C">
        <w:tc>
          <w:tcPr>
            <w:tcW w:w="1710" w:type="dxa"/>
          </w:tcPr>
          <w:p w:rsidR="00D453F3" w:rsidRPr="00A83110" w:rsidRDefault="00FA0A1E" w:rsidP="00FA0A1E">
            <w:pPr>
              <w:rPr>
                <w:b/>
              </w:rPr>
            </w:pPr>
            <w:r>
              <w:rPr>
                <w:b/>
              </w:rPr>
              <w:t>Subject:</w:t>
            </w:r>
          </w:p>
        </w:tc>
        <w:tc>
          <w:tcPr>
            <w:tcW w:w="8331" w:type="dxa"/>
          </w:tcPr>
          <w:p w:rsidR="00D453F3" w:rsidRDefault="00523FC7" w:rsidP="00847E3C">
            <w:r>
              <w:t>Math, Art</w:t>
            </w:r>
          </w:p>
        </w:tc>
      </w:tr>
      <w:tr w:rsidR="00FA0A1E" w:rsidRPr="00012450" w:rsidTr="0001459C">
        <w:tc>
          <w:tcPr>
            <w:tcW w:w="1710" w:type="dxa"/>
          </w:tcPr>
          <w:p w:rsidR="00FA0A1E" w:rsidRPr="00A83110" w:rsidRDefault="00FA0A1E" w:rsidP="00847E3C">
            <w:pPr>
              <w:rPr>
                <w:b/>
              </w:rPr>
            </w:pPr>
            <w:r>
              <w:rPr>
                <w:b/>
              </w:rPr>
              <w:t>Etoys Quick Guides</w:t>
            </w:r>
          </w:p>
        </w:tc>
        <w:tc>
          <w:tcPr>
            <w:tcW w:w="8331" w:type="dxa"/>
          </w:tcPr>
          <w:p w:rsidR="00FA0A1E" w:rsidRPr="007E6367"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D15A72">
              <w:rPr>
                <w:color w:val="FF33CC"/>
              </w:rPr>
              <w:tab/>
            </w:r>
          </w:p>
        </w:tc>
      </w:tr>
      <w:tr w:rsidR="0060648C" w:rsidRPr="00012450" w:rsidTr="0001459C">
        <w:tc>
          <w:tcPr>
            <w:tcW w:w="1710" w:type="dxa"/>
          </w:tcPr>
          <w:p w:rsidR="0060648C" w:rsidRDefault="0060648C" w:rsidP="00847E3C">
            <w:pPr>
              <w:rPr>
                <w:b/>
              </w:rPr>
            </w:pPr>
            <w:r>
              <w:rPr>
                <w:b/>
              </w:rPr>
              <w:t>Vocabulary:</w:t>
            </w:r>
          </w:p>
        </w:tc>
        <w:tc>
          <w:tcPr>
            <w:tcW w:w="8331" w:type="dxa"/>
          </w:tcPr>
          <w:p w:rsidR="00E23886" w:rsidRPr="00AB43C9" w:rsidRDefault="00DD32CB" w:rsidP="00DD32CB">
            <w:r>
              <w:t>Area, perimeter, paving, tiling, p</w:t>
            </w:r>
            <w:r w:rsidR="00EA4301">
              <w:t xml:space="preserve">atterns, visual patterns, </w:t>
            </w:r>
            <w:r w:rsidR="00523FC7">
              <w:t xml:space="preserve">word patterns, </w:t>
            </w:r>
            <w:r w:rsidR="00EA4301">
              <w:t xml:space="preserve">menu patterns, </w:t>
            </w:r>
            <w:r w:rsidR="00131599">
              <w:t xml:space="preserve">symmetry, </w:t>
            </w:r>
            <w:r w:rsidR="00EA4301">
              <w:t>similar, exact, almost, nearly, prec</w:t>
            </w:r>
            <w:r w:rsidR="00131599">
              <w:t xml:space="preserve">ise, observe, </w:t>
            </w:r>
            <w:r w:rsidR="00EA4301">
              <w:t xml:space="preserve">analyze, experiment, </w:t>
            </w:r>
            <w:r w:rsidR="00D35552">
              <w:t xml:space="preserve">tetra, </w:t>
            </w:r>
            <w:r w:rsidR="00EA4301">
              <w:t xml:space="preserve">Tetromino, Tetrominoes, </w:t>
            </w:r>
            <w:r w:rsidR="00523FC7">
              <w:t xml:space="preserve">grid, </w:t>
            </w:r>
            <w:r w:rsidR="00131599">
              <w:t xml:space="preserve">array, </w:t>
            </w:r>
            <w:r w:rsidR="00523FC7">
              <w:t>scale</w:t>
            </w:r>
            <w:r w:rsidR="00131599">
              <w:t>,</w:t>
            </w:r>
            <w:r w:rsidR="00744022">
              <w:t xml:space="preserve"> slide, </w:t>
            </w:r>
            <w:r>
              <w:t xml:space="preserve">rotate, </w:t>
            </w:r>
            <w:r w:rsidR="00401D8E">
              <w:t>rotation, turn, reflection, mirror image</w:t>
            </w:r>
          </w:p>
        </w:tc>
      </w:tr>
      <w:tr w:rsidR="00FA0A1E" w:rsidTr="0001459C">
        <w:tc>
          <w:tcPr>
            <w:tcW w:w="1710" w:type="dxa"/>
          </w:tcPr>
          <w:p w:rsidR="00FA0A1E" w:rsidRDefault="00FA0A1E" w:rsidP="00847E3C">
            <w:pPr>
              <w:rPr>
                <w:b/>
              </w:rPr>
            </w:pPr>
            <w:r w:rsidRPr="00FA0A1E">
              <w:rPr>
                <w:b/>
              </w:rPr>
              <w:t>Lesson 1</w:t>
            </w:r>
            <w:r>
              <w:rPr>
                <w:b/>
              </w:rPr>
              <w:t>:</w:t>
            </w:r>
          </w:p>
          <w:p w:rsidR="00D35552" w:rsidRDefault="00D35552" w:rsidP="00847E3C">
            <w:pPr>
              <w:rPr>
                <w:b/>
              </w:rPr>
            </w:pPr>
          </w:p>
          <w:p w:rsidR="00D35552" w:rsidRDefault="00D35552" w:rsidP="00847E3C">
            <w:pPr>
              <w:rPr>
                <w:b/>
              </w:rPr>
            </w:pPr>
          </w:p>
          <w:p w:rsidR="00D35552" w:rsidRDefault="00D35552" w:rsidP="00847E3C">
            <w:pPr>
              <w:rPr>
                <w:b/>
              </w:rPr>
            </w:pPr>
          </w:p>
          <w:p w:rsidR="00B07DB8" w:rsidRDefault="00B07DB8" w:rsidP="00847E3C">
            <w:pPr>
              <w:rPr>
                <w:b/>
              </w:rPr>
            </w:pPr>
          </w:p>
          <w:p w:rsidR="00916331" w:rsidRDefault="00916331" w:rsidP="00847E3C">
            <w:pPr>
              <w:rPr>
                <w:b/>
              </w:rPr>
            </w:pPr>
          </w:p>
          <w:p w:rsidR="00D35552" w:rsidRDefault="00D35552" w:rsidP="00847E3C">
            <w:pPr>
              <w:rPr>
                <w:color w:val="008080"/>
                <w:sz w:val="20"/>
                <w:szCs w:val="20"/>
              </w:rPr>
            </w:pPr>
            <w:r>
              <w:rPr>
                <w:color w:val="008080"/>
                <w:sz w:val="20"/>
                <w:szCs w:val="20"/>
              </w:rPr>
              <w:t>Paint Tools: Brushes</w:t>
            </w: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r>
              <w:rPr>
                <w:color w:val="008080"/>
                <w:sz w:val="20"/>
                <w:szCs w:val="20"/>
              </w:rPr>
              <w:t>Menu: Playfield Graph Paper Options</w:t>
            </w: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9E61B2" w:rsidRDefault="009E61B2" w:rsidP="00847E3C">
            <w:pPr>
              <w:rPr>
                <w:color w:val="008080"/>
                <w:sz w:val="20"/>
                <w:szCs w:val="20"/>
              </w:rPr>
            </w:pPr>
          </w:p>
          <w:p w:rsidR="00131599" w:rsidRDefault="00131599" w:rsidP="00847E3C">
            <w:pPr>
              <w:rPr>
                <w:color w:val="008080"/>
                <w:sz w:val="20"/>
                <w:szCs w:val="20"/>
              </w:rPr>
            </w:pPr>
          </w:p>
          <w:p w:rsidR="00131599" w:rsidRDefault="00131599" w:rsidP="00847E3C">
            <w:pPr>
              <w:rPr>
                <w:color w:val="008080"/>
                <w:sz w:val="20"/>
                <w:szCs w:val="20"/>
              </w:rPr>
            </w:pPr>
          </w:p>
          <w:p w:rsidR="009E61B2" w:rsidRDefault="009E61B2" w:rsidP="00847E3C">
            <w:pPr>
              <w:rPr>
                <w:color w:val="008080"/>
                <w:sz w:val="20"/>
                <w:szCs w:val="20"/>
              </w:rPr>
            </w:pPr>
          </w:p>
          <w:p w:rsidR="009E61B2" w:rsidRDefault="009E61B2" w:rsidP="009E61B2">
            <w:pPr>
              <w:rPr>
                <w:color w:val="008080"/>
                <w:sz w:val="20"/>
                <w:szCs w:val="20"/>
              </w:rPr>
            </w:pPr>
            <w:r>
              <w:rPr>
                <w:color w:val="008080"/>
                <w:sz w:val="20"/>
                <w:szCs w:val="20"/>
              </w:rPr>
              <w:t>Halo Handles: Menu Tools</w:t>
            </w:r>
          </w:p>
          <w:p w:rsidR="009E61B2" w:rsidRDefault="009E61B2" w:rsidP="00847E3C">
            <w:pPr>
              <w:rPr>
                <w:color w:val="008080"/>
                <w:sz w:val="20"/>
                <w:szCs w:val="20"/>
              </w:rPr>
            </w:pPr>
          </w:p>
          <w:p w:rsidR="009E61B2" w:rsidRDefault="009E61B2"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6E327F" w:rsidRDefault="006E327F"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6E327F" w:rsidRDefault="006E327F"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9B0D38" w:rsidRDefault="009B0D38" w:rsidP="00847E3C">
            <w:pPr>
              <w:rPr>
                <w:color w:val="008080"/>
                <w:sz w:val="20"/>
                <w:szCs w:val="20"/>
              </w:rPr>
            </w:pPr>
          </w:p>
          <w:p w:rsidR="006E327F" w:rsidRPr="00D35552" w:rsidRDefault="009B0D38" w:rsidP="00847E3C">
            <w:pPr>
              <w:rPr>
                <w:color w:val="008080"/>
                <w:sz w:val="20"/>
                <w:szCs w:val="20"/>
              </w:rPr>
            </w:pPr>
            <w:r>
              <w:rPr>
                <w:color w:val="008080"/>
                <w:sz w:val="20"/>
                <w:szCs w:val="20"/>
              </w:rPr>
              <w:t>Navigator Bar: Keep Find Projects</w:t>
            </w:r>
          </w:p>
        </w:tc>
        <w:tc>
          <w:tcPr>
            <w:tcW w:w="8331" w:type="dxa"/>
          </w:tcPr>
          <w:p w:rsidR="00251CE0" w:rsidRDefault="00251CE0" w:rsidP="001D1D26">
            <w:r>
              <w:lastRenderedPageBreak/>
              <w:t xml:space="preserve">Give students four pennies </w:t>
            </w:r>
            <w:r w:rsidR="00DD32CB">
              <w:t xml:space="preserve">and a piece of graph paper </w:t>
            </w:r>
            <w:r>
              <w:t>and ask how many different shapes are</w:t>
            </w:r>
            <w:r w:rsidR="00DD32CB">
              <w:t xml:space="preserve"> possible when </w:t>
            </w:r>
            <w:r w:rsidR="00077961">
              <w:t xml:space="preserve">the pennies must touch and </w:t>
            </w:r>
            <w:r w:rsidR="00077961">
              <w:lastRenderedPageBreak/>
              <w:t>their centers must be on horizontal and vertical lines</w:t>
            </w:r>
            <w:r>
              <w:t>. Represented by letters that are similar in shape</w:t>
            </w:r>
            <w:r w:rsidR="00523FC7">
              <w:t>,</w:t>
            </w:r>
            <w:r>
              <w:t xml:space="preserve"> the seven </w:t>
            </w:r>
            <w:r w:rsidR="00D35552">
              <w:t xml:space="preserve">Tetrominoes </w:t>
            </w:r>
            <w:r>
              <w:t xml:space="preserve">are: L, J, T, S, Z, I, and O. </w:t>
            </w:r>
            <w:r w:rsidR="00131599">
              <w:t xml:space="preserve"> Read brief info at: </w:t>
            </w:r>
            <w:hyperlink r:id="rId8" w:history="1">
              <w:r w:rsidR="00131599" w:rsidRPr="005734AE">
                <w:rPr>
                  <w:rStyle w:val="Hyperlink"/>
                </w:rPr>
                <w:t>http://en.wikipedia.org/wiki/Tetromino</w:t>
              </w:r>
            </w:hyperlink>
            <w:r w:rsidR="00131599">
              <w:t xml:space="preserve"> </w:t>
            </w:r>
          </w:p>
          <w:p w:rsidR="00B07DB8" w:rsidRDefault="00B07DB8" w:rsidP="001D1D26"/>
          <w:p w:rsidR="00251CE0" w:rsidRDefault="00251CE0" w:rsidP="001D1D26">
            <w:r>
              <w:t xml:space="preserve">Open a paint palette and paint the shapes. Keep the shapes as one object as a reference for the next part of the lesson. </w:t>
            </w:r>
          </w:p>
          <w:p w:rsidR="00251CE0" w:rsidRDefault="00251CE0" w:rsidP="001D1D26"/>
          <w:p w:rsidR="00251CE0" w:rsidRDefault="00251CE0" w:rsidP="001D1D26">
            <w:r>
              <w:t>Get a playfield from Supplies. Open its Viewer and click on the white menu.</w:t>
            </w:r>
            <w:r w:rsidR="006E327F">
              <w:t xml:space="preserve"> </w:t>
            </w:r>
            <w:r>
              <w:t xml:space="preserve">Chose make graph paper. </w:t>
            </w:r>
          </w:p>
          <w:p w:rsidR="006E327F" w:rsidRDefault="006E327F" w:rsidP="001D1D26"/>
          <w:p w:rsidR="00251CE0" w:rsidRDefault="00251CE0" w:rsidP="001D1D26">
            <w:r>
              <w:t>A dialog box opens asking what size the grid should be. A second dialog box asks what color background should be and a third dialog box asks what color the lines should be. Give students time to experiment with different grid sizes and color combinations.</w:t>
            </w:r>
            <w:r w:rsidR="00C816F7">
              <w:t xml:space="preserve"> They should see that the large</w:t>
            </w:r>
            <w:r w:rsidR="009E61B2">
              <w:t>r the grid size, the fewer squares there</w:t>
            </w:r>
            <w:r w:rsidR="00C816F7">
              <w:t xml:space="preserve"> will be when the area of the playfield stays the same. Students should decide how large the grid will be for their pattern pieces and how large the playfield should be for the pattern constructions.</w:t>
            </w:r>
          </w:p>
          <w:p w:rsidR="00602EE2" w:rsidRDefault="00602EE2" w:rsidP="001D1D26"/>
          <w:p w:rsidR="00602EE2" w:rsidRDefault="009E61B2" w:rsidP="001D1D26">
            <w:r>
              <w:t>Open the Halo of handles</w:t>
            </w:r>
            <w:r w:rsidR="00602EE2">
              <w:t xml:space="preserve"> for the </w:t>
            </w:r>
            <w:r w:rsidR="00401D8E">
              <w:t xml:space="preserve">playfield </w:t>
            </w:r>
            <w:r w:rsidR="00602EE2">
              <w:t xml:space="preserve">grid and choose the white menu and use the push pin to keep the menu open. Select drop shadow and experiment with color and offset choices. </w:t>
            </w:r>
          </w:p>
          <w:p w:rsidR="00251CE0" w:rsidRDefault="00251CE0" w:rsidP="001D1D26"/>
          <w:p w:rsidR="00251CE0" w:rsidRDefault="00251CE0" w:rsidP="001D1D26">
            <w:r>
              <w:t>When students have chosen the size and color of the grid open a paint palette and chose a b</w:t>
            </w:r>
            <w:r w:rsidR="00C816F7">
              <w:t>r</w:t>
            </w:r>
            <w:r>
              <w:t>ush size</w:t>
            </w:r>
            <w:r w:rsidR="00401D8E">
              <w:t xml:space="preserve"> that will fit </w:t>
            </w:r>
            <w:r w:rsidR="00C816F7">
              <w:t>the size grid they selected</w:t>
            </w:r>
            <w:r>
              <w:t>.</w:t>
            </w:r>
            <w:r w:rsidR="00C816F7">
              <w:t xml:space="preserve"> The grid is visible under the paint scrim. Paint brushes will make consistent sized dots of color</w:t>
            </w:r>
            <w:r w:rsidR="00630AD2">
              <w:t xml:space="preserve"> and are probably easier to control that the ones made by the ellipse tool</w:t>
            </w:r>
            <w:r w:rsidR="00C816F7">
              <w:t xml:space="preserve">. </w:t>
            </w:r>
          </w:p>
          <w:p w:rsidR="00C816F7" w:rsidRDefault="00C816F7" w:rsidP="001D1D26"/>
          <w:p w:rsidR="00C816F7" w:rsidRDefault="00401D8E" w:rsidP="001D1D26">
            <w:r>
              <w:t xml:space="preserve">Draw each pattern piece </w:t>
            </w:r>
            <w:r w:rsidR="00630AD2">
              <w:t xml:space="preserve">with a new paint palette and keep each so each </w:t>
            </w:r>
            <w:r w:rsidR="00C816F7">
              <w:t xml:space="preserve">can be picked up and moved separately. </w:t>
            </w:r>
            <w:r>
              <w:t xml:space="preserve">Paint one single dot, </w:t>
            </w:r>
            <w:r w:rsidR="00523FC7">
              <w:t>called a monomino</w:t>
            </w:r>
            <w:r>
              <w:t>,</w:t>
            </w:r>
            <w:r w:rsidR="00523FC7">
              <w:t xml:space="preserve"> to use w</w:t>
            </w:r>
            <w:r>
              <w:t>hen making</w:t>
            </w:r>
            <w:r w:rsidR="00523FC7">
              <w:t xml:space="preserve"> </w:t>
            </w:r>
            <w:r w:rsidR="00131599">
              <w:t xml:space="preserve">the </w:t>
            </w:r>
            <w:r w:rsidR="00523FC7">
              <w:t xml:space="preserve">patterns. </w:t>
            </w:r>
            <w:r w:rsidR="00C816F7">
              <w:t>Discard the reference version of the pieces after all the separate ones are made.</w:t>
            </w:r>
          </w:p>
          <w:p w:rsidR="00EE7B0B" w:rsidRDefault="00EE7B0B" w:rsidP="001D1D26"/>
          <w:p w:rsidR="009B0D38" w:rsidRDefault="00EE7B0B" w:rsidP="009B0D38">
            <w:r>
              <w:t>Give students time to</w:t>
            </w:r>
            <w:r w:rsidR="009B0D38">
              <w:t xml:space="preserve"> see other projects and experiment with</w:t>
            </w:r>
            <w:r>
              <w:t xml:space="preserve"> different grid sizes and color schemes and to edit their project choices.</w:t>
            </w:r>
          </w:p>
          <w:p w:rsidR="009B0D38" w:rsidRDefault="009B0D38" w:rsidP="009B0D38"/>
          <w:p w:rsidR="009B0D38" w:rsidRDefault="009B0D38" w:rsidP="009B0D38">
            <w:r>
              <w:t xml:space="preserve">This example project uses a 5x11 grid and will always have one empty square. A single dot, the monomino, was added to the project to give </w:t>
            </w:r>
            <w:r>
              <w:lastRenderedPageBreak/>
              <w:t>more design and pattern options. The grid could have been a 4x10 or 2x20 or any other combinations that make an even number of grid squares. All are good options and something students enjoy trying.</w:t>
            </w:r>
          </w:p>
          <w:p w:rsidR="00C816F7" w:rsidRDefault="00C816F7" w:rsidP="001D1D26"/>
          <w:p w:rsidR="0026773F" w:rsidRDefault="00EE7B0B" w:rsidP="00EE7B0B">
            <w:r>
              <w:t>Keep the project. NameTetPattern</w:t>
            </w:r>
          </w:p>
        </w:tc>
      </w:tr>
      <w:tr w:rsidR="00FA0A1E" w:rsidTr="0001459C">
        <w:tc>
          <w:tcPr>
            <w:tcW w:w="1710" w:type="dxa"/>
          </w:tcPr>
          <w:p w:rsidR="00FA0A1E" w:rsidRDefault="00FA0A1E" w:rsidP="00A87D06">
            <w:pPr>
              <w:rPr>
                <w:b/>
              </w:rPr>
            </w:pPr>
            <w:r>
              <w:rPr>
                <w:b/>
              </w:rPr>
              <w:lastRenderedPageBreak/>
              <w:t>Lesson 2:</w:t>
            </w:r>
          </w:p>
          <w:p w:rsidR="006E327F" w:rsidRDefault="006E327F" w:rsidP="00A87D06">
            <w:pPr>
              <w:rPr>
                <w:b/>
              </w:rPr>
            </w:pPr>
          </w:p>
          <w:p w:rsidR="00401D8E" w:rsidRDefault="00401D8E" w:rsidP="00A87D06">
            <w:pPr>
              <w:rPr>
                <w:b/>
              </w:rPr>
            </w:pPr>
          </w:p>
          <w:p w:rsidR="006E327F" w:rsidRDefault="006E327F" w:rsidP="00A87D06">
            <w:pPr>
              <w:rPr>
                <w:color w:val="008080"/>
                <w:sz w:val="20"/>
                <w:szCs w:val="20"/>
              </w:rPr>
            </w:pPr>
            <w:r w:rsidRPr="006E327F">
              <w:rPr>
                <w:color w:val="008080"/>
                <w:sz w:val="20"/>
                <w:szCs w:val="20"/>
              </w:rPr>
              <w:t>Object Catalog: Maker Buttons</w:t>
            </w: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Default="006E327F" w:rsidP="00A87D06">
            <w:pPr>
              <w:rPr>
                <w:color w:val="008080"/>
                <w:sz w:val="20"/>
                <w:szCs w:val="20"/>
              </w:rPr>
            </w:pPr>
          </w:p>
          <w:p w:rsidR="006E327F" w:rsidRPr="006E327F" w:rsidRDefault="006E327F" w:rsidP="00A87D06">
            <w:pPr>
              <w:rPr>
                <w:color w:val="008080"/>
                <w:sz w:val="20"/>
                <w:szCs w:val="20"/>
              </w:rPr>
            </w:pPr>
            <w:r>
              <w:rPr>
                <w:color w:val="008080"/>
                <w:sz w:val="20"/>
                <w:szCs w:val="20"/>
              </w:rPr>
              <w:t>Script Tiles: Scale Factor</w:t>
            </w:r>
          </w:p>
        </w:tc>
        <w:tc>
          <w:tcPr>
            <w:tcW w:w="8331" w:type="dxa"/>
          </w:tcPr>
          <w:p w:rsidR="00EE7B0B" w:rsidRDefault="00EE7B0B" w:rsidP="00EA4301">
            <w:r>
              <w:t xml:space="preserve">This lesson adds maker buttons and asks students to </w:t>
            </w:r>
            <w:r w:rsidR="00743642">
              <w:t xml:space="preserve">begin to </w:t>
            </w:r>
            <w:r>
              <w:t>develop an understanding of the patterns of choices for color properties of objects.</w:t>
            </w:r>
          </w:p>
          <w:p w:rsidR="00401D8E" w:rsidRDefault="00401D8E" w:rsidP="00EA4301"/>
          <w:p w:rsidR="00EE7B0B" w:rsidRDefault="00EE7B0B" w:rsidP="00EA4301">
            <w:r>
              <w:t>Open Supplies, get an Object Catalog and chose the Connectors tab.</w:t>
            </w:r>
          </w:p>
          <w:p w:rsidR="00EE7B0B" w:rsidRDefault="00EE7B0B" w:rsidP="00EA4301">
            <w:r>
              <w:t>Get two Maker Buttons. These will be used as the suppl</w:t>
            </w:r>
            <w:r w:rsidR="00630AD2">
              <w:t xml:space="preserve">y of maker buttons and to supply </w:t>
            </w:r>
            <w:r>
              <w:t>the pattern pieces.</w:t>
            </w:r>
          </w:p>
          <w:p w:rsidR="00EE7B0B" w:rsidRDefault="00EE7B0B" w:rsidP="00EA4301">
            <w:r>
              <w:t>Open a Halo</w:t>
            </w:r>
            <w:r w:rsidR="006E327F">
              <w:t xml:space="preserve"> for one of the Maker B</w:t>
            </w:r>
            <w:r>
              <w:t>uttons, click on the magenta color picker</w:t>
            </w:r>
            <w:r w:rsidR="006E327F">
              <w:t xml:space="preserve"> and choose a color. Put that Maker Button on the other Maker B</w:t>
            </w:r>
            <w:r>
              <w:t>utton. This will supply all the maker buttons for the project, click and</w:t>
            </w:r>
            <w:r w:rsidR="00401D8E">
              <w:t xml:space="preserve"> drag </w:t>
            </w:r>
            <w:r>
              <w:t xml:space="preserve">off </w:t>
            </w:r>
            <w:r w:rsidR="00401D8E">
              <w:t xml:space="preserve">copies of the maker button </w:t>
            </w:r>
            <w:r>
              <w:t xml:space="preserve">as needed. </w:t>
            </w:r>
          </w:p>
          <w:p w:rsidR="009D05ED" w:rsidRDefault="009D05ED" w:rsidP="00EA4301"/>
          <w:p w:rsidR="00EE7B0B" w:rsidRDefault="00EE7B0B" w:rsidP="00EA4301">
            <w:r>
              <w:t xml:space="preserve">Put </w:t>
            </w:r>
            <w:r w:rsidR="006E327F">
              <w:t xml:space="preserve">the Tetrominoes and the Monomino </w:t>
            </w:r>
            <w:r w:rsidR="00602EE2">
              <w:t>on Maker B</w:t>
            </w:r>
            <w:r w:rsidR="009D05ED">
              <w:t xml:space="preserve">uttons. </w:t>
            </w:r>
            <w:r w:rsidR="00602EE2">
              <w:t>Put the P</w:t>
            </w:r>
            <w:r>
              <w:t>layfield grid on one too.</w:t>
            </w:r>
            <w:r w:rsidR="006E327F">
              <w:t xml:space="preserve"> Discard the Maker Button that has been used as a supply of them. </w:t>
            </w:r>
          </w:p>
          <w:p w:rsidR="00EE7B0B" w:rsidRDefault="00EE7B0B" w:rsidP="00EA4301"/>
          <w:p w:rsidR="009D05ED" w:rsidRDefault="00602EE2" w:rsidP="001D1D26">
            <w:r>
              <w:t>The pattern pieces on Maker B</w:t>
            </w:r>
            <w:r w:rsidR="009D05ED">
              <w:t>uttons may be too large for the screen. Open a Viewer for each maker button, click on basic to open a menu and choose the Geometry category. Change the scale factor by click</w:t>
            </w:r>
            <w:r>
              <w:t>ing</w:t>
            </w:r>
            <w:r w:rsidR="009D05ED">
              <w:t xml:space="preserve"> on the small up/down green arrows or by typing in a new value. </w:t>
            </w:r>
            <w:r>
              <w:t>Give students time to understand how using the numbers gives them control over size and to make the changes uniform.</w:t>
            </w:r>
          </w:p>
          <w:p w:rsidR="009D05ED" w:rsidRDefault="009D05ED" w:rsidP="001D1D26"/>
          <w:p w:rsidR="0026773F" w:rsidRDefault="009D05ED" w:rsidP="001D1D26">
            <w:r>
              <w:t>Fill and border are menu choices for objects that are part of the standard supplies and environment of Etoys.</w:t>
            </w:r>
            <w:r w:rsidR="00630AD2">
              <w:t xml:space="preserve"> Fill and border are limited for objects painted using the paint tools.</w:t>
            </w:r>
            <w:r>
              <w:t xml:space="preserve"> </w:t>
            </w:r>
          </w:p>
          <w:p w:rsidR="009D05ED" w:rsidRDefault="009D05ED" w:rsidP="001D1D26"/>
          <w:p w:rsidR="009D05ED" w:rsidRDefault="009D05ED" w:rsidP="009D05ED">
            <w:r>
              <w:t>Change the color of the world.</w:t>
            </w:r>
          </w:p>
          <w:p w:rsidR="009D05ED" w:rsidRDefault="009D05ED" w:rsidP="009D05ED">
            <w:r>
              <w:t xml:space="preserve">Open a viewer for the world click on Scripts to open a menu choose Fill and Border. Give students time to experiment with all four of the tiles in this set. The tiles do not need to be dragged out to form scripts. </w:t>
            </w:r>
          </w:p>
          <w:p w:rsidR="009D05ED" w:rsidRDefault="009D05ED" w:rsidP="009D05ED"/>
          <w:p w:rsidR="0026773F" w:rsidRDefault="00602EE2" w:rsidP="00602EE2">
            <w:r>
              <w:t>Keep the project.</w:t>
            </w:r>
          </w:p>
        </w:tc>
      </w:tr>
      <w:tr w:rsidR="00FA0A1E" w:rsidTr="0001459C">
        <w:tc>
          <w:tcPr>
            <w:tcW w:w="1710" w:type="dxa"/>
          </w:tcPr>
          <w:p w:rsidR="00FA0A1E" w:rsidRDefault="00FA0A1E" w:rsidP="00FA0A1E">
            <w:pPr>
              <w:rPr>
                <w:b/>
              </w:rPr>
            </w:pPr>
            <w:r>
              <w:rPr>
                <w:b/>
              </w:rPr>
              <w:t>Lesson 3:</w:t>
            </w:r>
          </w:p>
          <w:p w:rsidR="00B07DB8" w:rsidRDefault="00743642" w:rsidP="00FA0A1E">
            <w:pPr>
              <w:rPr>
                <w:b/>
              </w:rPr>
            </w:pPr>
            <w:r>
              <w:rPr>
                <w:color w:val="008080"/>
                <w:sz w:val="20"/>
                <w:szCs w:val="20"/>
              </w:rPr>
              <w:t xml:space="preserve">Supplies: Add a </w:t>
            </w:r>
            <w:r>
              <w:rPr>
                <w:color w:val="008080"/>
                <w:sz w:val="20"/>
                <w:szCs w:val="20"/>
              </w:rPr>
              <w:lastRenderedPageBreak/>
              <w:t>New Flap</w:t>
            </w:r>
          </w:p>
          <w:p w:rsidR="00B07DB8" w:rsidRDefault="00B07DB8" w:rsidP="00FA0A1E">
            <w:pPr>
              <w:rPr>
                <w:b/>
              </w:rPr>
            </w:pPr>
          </w:p>
          <w:p w:rsidR="00B07DB8" w:rsidRDefault="00B07DB8" w:rsidP="00FA0A1E">
            <w:pPr>
              <w:rPr>
                <w:b/>
              </w:rPr>
            </w:pPr>
          </w:p>
          <w:p w:rsidR="00B07DB8" w:rsidRDefault="00B07DB8" w:rsidP="00FA0A1E">
            <w:pPr>
              <w:rPr>
                <w:b/>
              </w:rPr>
            </w:pPr>
          </w:p>
          <w:p w:rsidR="00B07DB8" w:rsidRDefault="00B07DB8" w:rsidP="00FA0A1E">
            <w:pPr>
              <w:rPr>
                <w:b/>
              </w:rPr>
            </w:pPr>
          </w:p>
          <w:p w:rsidR="00B07DB8" w:rsidRDefault="00B07DB8" w:rsidP="00FA0A1E">
            <w:pPr>
              <w:rPr>
                <w:b/>
              </w:rPr>
            </w:pPr>
          </w:p>
          <w:p w:rsidR="00B07DB8" w:rsidRDefault="00B07DB8" w:rsidP="00FA0A1E">
            <w:pPr>
              <w:rPr>
                <w:b/>
              </w:rPr>
            </w:pPr>
          </w:p>
          <w:p w:rsidR="00B07DB8" w:rsidRDefault="00B07DB8" w:rsidP="00FA0A1E">
            <w:pPr>
              <w:rPr>
                <w:b/>
              </w:rPr>
            </w:pPr>
          </w:p>
          <w:p w:rsidR="00B07DB8" w:rsidRDefault="00B07DB8" w:rsidP="00FA0A1E">
            <w:pPr>
              <w:rPr>
                <w:b/>
              </w:rPr>
            </w:pPr>
          </w:p>
          <w:p w:rsidR="00743642" w:rsidRDefault="00743642" w:rsidP="00FA0A1E">
            <w:pPr>
              <w:rPr>
                <w:b/>
              </w:rPr>
            </w:pPr>
          </w:p>
          <w:p w:rsidR="00743642" w:rsidRDefault="00743642" w:rsidP="00FA0A1E">
            <w:pPr>
              <w:rPr>
                <w:b/>
              </w:rPr>
            </w:pPr>
          </w:p>
          <w:p w:rsidR="00B07DB8" w:rsidRDefault="00B07DB8" w:rsidP="00FA0A1E">
            <w:pPr>
              <w:rPr>
                <w:color w:val="008080"/>
                <w:sz w:val="20"/>
                <w:szCs w:val="20"/>
              </w:rPr>
            </w:pPr>
            <w:r w:rsidRPr="00B07DB8">
              <w:rPr>
                <w:color w:val="008080"/>
                <w:sz w:val="20"/>
                <w:szCs w:val="20"/>
              </w:rPr>
              <w:t>Script Tiles: X and Y Tiles</w:t>
            </w:r>
          </w:p>
          <w:p w:rsidR="00630AD2" w:rsidRDefault="00630AD2" w:rsidP="00FA0A1E">
            <w:pPr>
              <w:rPr>
                <w:color w:val="008080"/>
                <w:sz w:val="20"/>
                <w:szCs w:val="20"/>
              </w:rPr>
            </w:pPr>
          </w:p>
          <w:p w:rsidR="00B07DB8" w:rsidRDefault="00B07DB8" w:rsidP="00FA0A1E">
            <w:pPr>
              <w:rPr>
                <w:color w:val="008080"/>
                <w:sz w:val="20"/>
                <w:szCs w:val="20"/>
              </w:rPr>
            </w:pPr>
            <w:r>
              <w:rPr>
                <w:color w:val="008080"/>
                <w:sz w:val="20"/>
                <w:szCs w:val="20"/>
              </w:rPr>
              <w:t>Supplies: Text</w:t>
            </w:r>
          </w:p>
          <w:p w:rsidR="00B07DB8" w:rsidRDefault="00B07DB8" w:rsidP="00FA0A1E">
            <w:pPr>
              <w:rPr>
                <w:color w:val="008080"/>
                <w:sz w:val="20"/>
                <w:szCs w:val="20"/>
              </w:rPr>
            </w:pPr>
          </w:p>
          <w:p w:rsidR="00B07DB8" w:rsidRDefault="00B07DB8" w:rsidP="00FA0A1E">
            <w:pPr>
              <w:rPr>
                <w:color w:val="008080"/>
                <w:sz w:val="20"/>
                <w:szCs w:val="20"/>
              </w:rPr>
            </w:pPr>
          </w:p>
          <w:p w:rsidR="00B07DB8" w:rsidRDefault="00B07DB8" w:rsidP="00FA0A1E">
            <w:pPr>
              <w:rPr>
                <w:color w:val="008080"/>
                <w:sz w:val="20"/>
                <w:szCs w:val="20"/>
              </w:rPr>
            </w:pPr>
          </w:p>
          <w:p w:rsidR="00B07DB8" w:rsidRDefault="00B07DB8" w:rsidP="00FA0A1E">
            <w:pPr>
              <w:rPr>
                <w:color w:val="008080"/>
                <w:sz w:val="20"/>
                <w:szCs w:val="20"/>
              </w:rPr>
            </w:pPr>
          </w:p>
          <w:p w:rsidR="00B07DB8" w:rsidRDefault="00B07DB8" w:rsidP="00FA0A1E">
            <w:pPr>
              <w:rPr>
                <w:color w:val="008080"/>
                <w:sz w:val="20"/>
                <w:szCs w:val="20"/>
              </w:rPr>
            </w:pPr>
          </w:p>
          <w:p w:rsidR="00B07DB8" w:rsidRDefault="00B07DB8" w:rsidP="00FA0A1E">
            <w:pPr>
              <w:rPr>
                <w:color w:val="008080"/>
                <w:sz w:val="20"/>
                <w:szCs w:val="20"/>
              </w:rPr>
            </w:pPr>
          </w:p>
          <w:p w:rsidR="00B07DB8" w:rsidRDefault="00B07DB8" w:rsidP="00FA0A1E">
            <w:pPr>
              <w:rPr>
                <w:color w:val="008080"/>
                <w:sz w:val="20"/>
                <w:szCs w:val="20"/>
              </w:rPr>
            </w:pPr>
          </w:p>
          <w:p w:rsidR="00B07DB8" w:rsidRDefault="00B07DB8" w:rsidP="00FA0A1E">
            <w:pPr>
              <w:rPr>
                <w:color w:val="008080"/>
                <w:sz w:val="20"/>
                <w:szCs w:val="20"/>
              </w:rPr>
            </w:pPr>
          </w:p>
          <w:p w:rsidR="00B07DB8" w:rsidRDefault="00B07DB8" w:rsidP="00FA0A1E">
            <w:pPr>
              <w:rPr>
                <w:color w:val="008080"/>
                <w:sz w:val="20"/>
                <w:szCs w:val="20"/>
              </w:rPr>
            </w:pPr>
          </w:p>
          <w:p w:rsidR="00B07DB8" w:rsidRPr="00B07DB8" w:rsidRDefault="00B07DB8" w:rsidP="00FA0A1E">
            <w:pPr>
              <w:rPr>
                <w:color w:val="008080"/>
                <w:sz w:val="20"/>
                <w:szCs w:val="20"/>
              </w:rPr>
            </w:pPr>
          </w:p>
        </w:tc>
        <w:tc>
          <w:tcPr>
            <w:tcW w:w="8331" w:type="dxa"/>
          </w:tcPr>
          <w:p w:rsidR="00602EE2" w:rsidRDefault="00602EE2" w:rsidP="009D05ED">
            <w:r>
              <w:lastRenderedPageBreak/>
              <w:t>Make a flap for the project information and directions.</w:t>
            </w:r>
          </w:p>
          <w:p w:rsidR="00602EE2" w:rsidRDefault="00743642" w:rsidP="009D05ED">
            <w:r>
              <w:t xml:space="preserve">Click on My Flap in Supplies. </w:t>
            </w:r>
            <w:r w:rsidR="00602EE2">
              <w:t xml:space="preserve"> </w:t>
            </w:r>
            <w:r>
              <w:t xml:space="preserve">Open a halo for the Flap click the white </w:t>
            </w:r>
            <w:r>
              <w:lastRenderedPageBreak/>
              <w:t xml:space="preserve">menu. </w:t>
            </w:r>
            <w:r w:rsidR="00602EE2">
              <w:t>Click the push pin to keep the menu open.</w:t>
            </w:r>
          </w:p>
          <w:p w:rsidR="00602EE2" w:rsidRDefault="00743642" w:rsidP="009D05ED">
            <w:r>
              <w:t>F</w:t>
            </w:r>
            <w:r w:rsidR="00602EE2">
              <w:t>o</w:t>
            </w:r>
            <w:r w:rsidR="00630AD2">
              <w:t>llow the dialog boxes to decide the</w:t>
            </w:r>
            <w:r w:rsidR="00602EE2">
              <w:t xml:space="preserve"> title and location of the flap.</w:t>
            </w:r>
          </w:p>
          <w:p w:rsidR="00630AD2" w:rsidRDefault="00630AD2" w:rsidP="009D05ED"/>
          <w:p w:rsidR="00602EE2" w:rsidRDefault="00602EE2" w:rsidP="009D05ED">
            <w:r>
              <w:t>Click the new flap’</w:t>
            </w:r>
            <w:r w:rsidR="00523FC7">
              <w:t xml:space="preserve">s tab to open it. The flap’s </w:t>
            </w:r>
            <w:r>
              <w:t>size can be adjusted b</w:t>
            </w:r>
            <w:r w:rsidR="00523FC7">
              <w:t xml:space="preserve">y dragging it </w:t>
            </w:r>
            <w:r>
              <w:t>and then clicking the tab to shut it again, like a window shade.</w:t>
            </w:r>
          </w:p>
          <w:p w:rsidR="00602EE2" w:rsidRDefault="00523FC7" w:rsidP="009D05ED">
            <w:r>
              <w:t xml:space="preserve">Change the color of the tab: use </w:t>
            </w:r>
            <w:r w:rsidR="00743642">
              <w:t>its white menu</w:t>
            </w:r>
            <w:r>
              <w:t>.</w:t>
            </w:r>
          </w:p>
          <w:p w:rsidR="00602EE2" w:rsidRDefault="00523FC7" w:rsidP="009D05ED">
            <w:r>
              <w:t xml:space="preserve">Change the color of the flap: use </w:t>
            </w:r>
            <w:r w:rsidR="00630AD2">
              <w:t xml:space="preserve">its </w:t>
            </w:r>
            <w:r w:rsidR="00743642">
              <w:t>white menu</w:t>
            </w:r>
            <w:r>
              <w:t>.</w:t>
            </w:r>
          </w:p>
          <w:p w:rsidR="00630AD2" w:rsidRDefault="00630AD2" w:rsidP="009D05ED"/>
          <w:p w:rsidR="00523FC7" w:rsidRDefault="00523FC7" w:rsidP="009D05ED">
            <w:r>
              <w:t xml:space="preserve">Suggest </w:t>
            </w:r>
            <w:r w:rsidR="006E327F">
              <w:t xml:space="preserve">that </w:t>
            </w:r>
            <w:r>
              <w:t>students use x and y coordinates to precisely locate the Maker Buttons</w:t>
            </w:r>
            <w:r w:rsidR="006E327F">
              <w:t xml:space="preserve"> o</w:t>
            </w:r>
            <w:r>
              <w:t>n th</w:t>
            </w:r>
            <w:r w:rsidR="00401D8E">
              <w:t>eir screen</w:t>
            </w:r>
            <w:r>
              <w:t>.</w:t>
            </w:r>
          </w:p>
          <w:p w:rsidR="00523FC7" w:rsidRDefault="00523FC7" w:rsidP="009D05ED"/>
          <w:p w:rsidR="006E327F" w:rsidRDefault="006E327F" w:rsidP="009D05ED">
            <w:r>
              <w:t>Get Text fr</w:t>
            </w:r>
            <w:r w:rsidR="00401D8E">
              <w:t>om Supplies and type directions for the project.</w:t>
            </w:r>
            <w:r>
              <w:t xml:space="preserve"> </w:t>
            </w:r>
          </w:p>
          <w:p w:rsidR="00B07DB8" w:rsidRDefault="00B07DB8" w:rsidP="009D05ED">
            <w:r>
              <w:t>Change the color of the Text: use fill and border.</w:t>
            </w:r>
          </w:p>
          <w:p w:rsidR="006E327F" w:rsidRDefault="006E327F" w:rsidP="009D05ED"/>
          <w:p w:rsidR="00602EE2" w:rsidRDefault="006E327F" w:rsidP="009D05ED">
            <w:r>
              <w:t>Get a</w:t>
            </w:r>
            <w:r w:rsidR="00630AD2">
              <w:t>nother</w:t>
            </w:r>
            <w:r>
              <w:t xml:space="preserve"> T</w:t>
            </w:r>
            <w:r w:rsidR="00602EE2">
              <w:t xml:space="preserve">ext from Supplies and type a title for the project. </w:t>
            </w:r>
            <w:r w:rsidR="00523FC7">
              <w:t>Give students time to choose an</w:t>
            </w:r>
            <w:r w:rsidR="00602EE2">
              <w:t xml:space="preserve"> interesting and appealing title and </w:t>
            </w:r>
            <w:r w:rsidR="00523FC7">
              <w:t xml:space="preserve">to position </w:t>
            </w:r>
            <w:r w:rsidR="00602EE2">
              <w:t xml:space="preserve">the title so it fits with the puzzle pieces and grid. </w:t>
            </w:r>
          </w:p>
          <w:p w:rsidR="00602EE2" w:rsidRDefault="00602EE2" w:rsidP="009D05ED">
            <w:r>
              <w:t>Change the colo</w:t>
            </w:r>
            <w:r w:rsidR="00523FC7">
              <w:t xml:space="preserve">r of the text: use </w:t>
            </w:r>
            <w:r w:rsidR="00630AD2">
              <w:t xml:space="preserve">its </w:t>
            </w:r>
            <w:r w:rsidR="00523FC7">
              <w:t>fill and border</w:t>
            </w:r>
            <w:r w:rsidR="00630AD2">
              <w:t xml:space="preserve"> tiles</w:t>
            </w:r>
            <w:r w:rsidR="00523FC7">
              <w:t xml:space="preserve">. </w:t>
            </w:r>
          </w:p>
          <w:p w:rsidR="0026773F" w:rsidRDefault="0026773F" w:rsidP="00847E3C"/>
          <w:p w:rsidR="00401D8E" w:rsidRDefault="00630AD2" w:rsidP="00847E3C">
            <w:r>
              <w:t>Keep the project, change the name to: nameTetPatFinal</w:t>
            </w:r>
          </w:p>
        </w:tc>
      </w:tr>
      <w:tr w:rsidR="00630AD2" w:rsidTr="0001459C">
        <w:tc>
          <w:tcPr>
            <w:tcW w:w="1710" w:type="dxa"/>
          </w:tcPr>
          <w:p w:rsidR="00630AD2" w:rsidRDefault="00630AD2" w:rsidP="00FA0A1E">
            <w:pPr>
              <w:rPr>
                <w:b/>
              </w:rPr>
            </w:pPr>
            <w:r>
              <w:rPr>
                <w:b/>
              </w:rPr>
              <w:lastRenderedPageBreak/>
              <w:t>Lesson 4:</w:t>
            </w:r>
          </w:p>
          <w:p w:rsidR="00630AD2" w:rsidRDefault="00630AD2" w:rsidP="00FA0A1E">
            <w:pPr>
              <w:rPr>
                <w:b/>
              </w:rPr>
            </w:pPr>
          </w:p>
          <w:p w:rsidR="00630AD2" w:rsidRDefault="00630AD2" w:rsidP="00FA0A1E">
            <w:pPr>
              <w:rPr>
                <w:b/>
              </w:rPr>
            </w:pPr>
          </w:p>
          <w:p w:rsidR="00630AD2" w:rsidRDefault="00630AD2" w:rsidP="00FA0A1E">
            <w:pPr>
              <w:rPr>
                <w:b/>
              </w:rPr>
            </w:pPr>
          </w:p>
          <w:p w:rsidR="00630AD2" w:rsidRDefault="00630AD2" w:rsidP="00FA0A1E">
            <w:pPr>
              <w:rPr>
                <w:b/>
              </w:rPr>
            </w:pPr>
          </w:p>
          <w:p w:rsidR="00630AD2" w:rsidRDefault="00630AD2" w:rsidP="00FA0A1E">
            <w:pPr>
              <w:rPr>
                <w:b/>
              </w:rPr>
            </w:pPr>
          </w:p>
          <w:p w:rsidR="00630AD2" w:rsidRDefault="00630AD2" w:rsidP="00FA0A1E">
            <w:pPr>
              <w:rPr>
                <w:b/>
              </w:rPr>
            </w:pPr>
          </w:p>
          <w:p w:rsidR="00AF53F7" w:rsidRDefault="00AF53F7" w:rsidP="00FA0A1E">
            <w:pPr>
              <w:rPr>
                <w:b/>
              </w:rPr>
            </w:pPr>
          </w:p>
          <w:p w:rsidR="00AF53F7" w:rsidRDefault="00AF53F7" w:rsidP="00FA0A1E">
            <w:pPr>
              <w:rPr>
                <w:b/>
              </w:rPr>
            </w:pPr>
          </w:p>
          <w:p w:rsidR="00AF53F7" w:rsidRDefault="00AF53F7" w:rsidP="00FA0A1E">
            <w:pPr>
              <w:rPr>
                <w:b/>
              </w:rPr>
            </w:pPr>
          </w:p>
          <w:p w:rsidR="00630AD2" w:rsidRDefault="00630AD2" w:rsidP="00FA0A1E">
            <w:pPr>
              <w:rPr>
                <w:b/>
              </w:rPr>
            </w:pPr>
            <w:r>
              <w:rPr>
                <w:color w:val="008080"/>
                <w:sz w:val="20"/>
                <w:szCs w:val="20"/>
              </w:rPr>
              <w:t>Object Catalog: Grab Patch Tool</w:t>
            </w:r>
          </w:p>
        </w:tc>
        <w:tc>
          <w:tcPr>
            <w:tcW w:w="8331" w:type="dxa"/>
          </w:tcPr>
          <w:p w:rsidR="00630AD2" w:rsidRDefault="00630AD2" w:rsidP="00630AD2">
            <w:r>
              <w:t>Give students time to make patterns, to develop understandings on how a set number of pieces can be put together in many ways. Give them time to play with their project.</w:t>
            </w:r>
          </w:p>
          <w:p w:rsidR="00630AD2" w:rsidRDefault="00630AD2" w:rsidP="00630AD2">
            <w:r>
              <w:t xml:space="preserve"> </w:t>
            </w:r>
          </w:p>
          <w:p w:rsidR="00630AD2" w:rsidRDefault="00630AD2" w:rsidP="00630AD2">
            <w:r>
              <w:t xml:space="preserve">Ask students to make half of a pattern and </w:t>
            </w:r>
            <w:r w:rsidR="00AF53F7">
              <w:t xml:space="preserve">then </w:t>
            </w:r>
            <w:r>
              <w:t xml:space="preserve">to change places with a nearby student to complete the other half of their pattern. </w:t>
            </w:r>
          </w:p>
          <w:p w:rsidR="00AF53F7" w:rsidRDefault="00AF53F7" w:rsidP="00630AD2"/>
          <w:p w:rsidR="00AF53F7" w:rsidRDefault="00AF53F7" w:rsidP="00630AD2">
            <w:r>
              <w:t xml:space="preserve">Encourage students to change the size of the playfield and see what other patterns can be made with larger and smaller areas. </w:t>
            </w:r>
          </w:p>
          <w:p w:rsidR="00630AD2" w:rsidRDefault="00630AD2" w:rsidP="00630AD2"/>
          <w:p w:rsidR="00630AD2" w:rsidRDefault="00630AD2" w:rsidP="00630AD2">
            <w:r>
              <w:t>Students w</w:t>
            </w:r>
            <w:r w:rsidR="00916331">
              <w:t xml:space="preserve">ho want to keep copies of </w:t>
            </w:r>
            <w:r>
              <w:t>favorite patterns can use a Grab Patch tool from the Object Catalog. Copy, shrink, and store the favorites in the flap.</w:t>
            </w:r>
          </w:p>
          <w:p w:rsidR="00630AD2" w:rsidRDefault="00630AD2" w:rsidP="00630AD2"/>
          <w:p w:rsidR="00630AD2" w:rsidRDefault="00630AD2" w:rsidP="00630AD2">
            <w:r>
              <w:t>Keep the project each time new patterns are placed in the flap so they will accumulate as a library of design ideas.</w:t>
            </w:r>
          </w:p>
          <w:p w:rsidR="00630AD2" w:rsidRDefault="00630AD2" w:rsidP="00630AD2"/>
          <w:p w:rsidR="00630AD2" w:rsidRDefault="00630AD2" w:rsidP="00630AD2">
            <w:r>
              <w:t xml:space="preserve">N.B. This project is one of a set of three projects that use tetromino </w:t>
            </w:r>
            <w:r>
              <w:lastRenderedPageBreak/>
              <w:t>shapes. Students who enjoy these shapes may also like to use them in a puzzle and a game. The puzzle project is in the CS4K5 Grade 4 curriculum and the game is a CS4K5 Grade 5 project. Students who do all three projects in one year will find that they can reuse or modify shapes, flaps, grids, and other objects.</w:t>
            </w:r>
          </w:p>
        </w:tc>
      </w:tr>
      <w:tr w:rsidR="00FA0A1E" w:rsidTr="0001459C">
        <w:tc>
          <w:tcPr>
            <w:tcW w:w="1710" w:type="dxa"/>
          </w:tcPr>
          <w:p w:rsidR="00FA0A1E" w:rsidRDefault="00FA0A1E" w:rsidP="00847E3C">
            <w:pPr>
              <w:rPr>
                <w:b/>
              </w:rPr>
            </w:pPr>
            <w:r>
              <w:rPr>
                <w:b/>
              </w:rPr>
              <w:lastRenderedPageBreak/>
              <w:t>Standards:</w:t>
            </w:r>
          </w:p>
        </w:tc>
        <w:tc>
          <w:tcPr>
            <w:tcW w:w="8331" w:type="dxa"/>
          </w:tcPr>
          <w:p w:rsidR="000D3CEF" w:rsidRDefault="00743642" w:rsidP="000D3CEF">
            <w:r>
              <w:t>Common Core Standards</w:t>
            </w:r>
          </w:p>
          <w:p w:rsidR="00743642" w:rsidRPr="00D35552" w:rsidRDefault="00743642" w:rsidP="000D3CEF">
            <w:r>
              <w:t>Mathematics:</w:t>
            </w:r>
            <w:r w:rsidR="00121C2D">
              <w:t xml:space="preserve"> 3.NF.1.3.a; </w:t>
            </w:r>
            <w:r w:rsidR="00224A28">
              <w:t>3.MD.</w:t>
            </w:r>
            <w:r w:rsidR="00121C2D">
              <w:t xml:space="preserve">3.a.4. </w:t>
            </w:r>
            <w:r w:rsidR="00224A28">
              <w:t>5.6.7.8</w:t>
            </w:r>
          </w:p>
          <w:p w:rsidR="000D3CEF" w:rsidRPr="00D35552" w:rsidRDefault="000D3CEF" w:rsidP="000D3CEF"/>
          <w:p w:rsidR="004C1AAD" w:rsidRPr="00D35552" w:rsidRDefault="004C1AAD" w:rsidP="004C1AAD">
            <w:r w:rsidRPr="00D35552">
              <w:t>Bloom’s Taxonomy/Cognitive Domain:</w:t>
            </w:r>
          </w:p>
          <w:p w:rsidR="004C1AAD" w:rsidRPr="00D35552" w:rsidRDefault="00743642" w:rsidP="004C1AAD">
            <w:r>
              <w:t xml:space="preserve">Knowledge: knows, </w:t>
            </w:r>
            <w:r w:rsidR="004C1AAD" w:rsidRPr="00D35552">
              <w:t>defines</w:t>
            </w:r>
          </w:p>
          <w:p w:rsidR="004C1AAD" w:rsidRPr="00121C2D" w:rsidRDefault="00D35552" w:rsidP="004C1AAD">
            <w:r w:rsidRPr="00121C2D">
              <w:t>Comprehension: classifies</w:t>
            </w:r>
          </w:p>
          <w:p w:rsidR="004C1AAD" w:rsidRPr="00D35552" w:rsidRDefault="00743642" w:rsidP="004C1AAD">
            <w:r>
              <w:t xml:space="preserve">Analysis: </w:t>
            </w:r>
            <w:r w:rsidR="00D35552" w:rsidRPr="00D35552">
              <w:t>experiments</w:t>
            </w:r>
          </w:p>
          <w:p w:rsidR="00743642" w:rsidRDefault="00743642" w:rsidP="00743642">
            <w:r>
              <w:t xml:space="preserve">Evaluation: compares, </w:t>
            </w:r>
            <w:r w:rsidR="00D35552" w:rsidRPr="00D35552">
              <w:t>investigates</w:t>
            </w:r>
            <w:r w:rsidRPr="00D35552">
              <w:t xml:space="preserve"> </w:t>
            </w:r>
          </w:p>
          <w:p w:rsidR="00743642" w:rsidRDefault="00743642" w:rsidP="00743642"/>
          <w:p w:rsidR="00743642" w:rsidRPr="00D35552" w:rsidRDefault="00743642" w:rsidP="00743642">
            <w:pPr>
              <w:rPr>
                <w:sz w:val="18"/>
                <w:szCs w:val="18"/>
              </w:rPr>
            </w:pPr>
            <w:r w:rsidRPr="00D35552">
              <w:t xml:space="preserve">NETS </w:t>
            </w:r>
          </w:p>
          <w:p w:rsidR="00743642" w:rsidRPr="00D35552" w:rsidRDefault="00743642" w:rsidP="00743642">
            <w:r>
              <w:t>1. a</w:t>
            </w:r>
          </w:p>
          <w:p w:rsidR="00743642" w:rsidRPr="00D35552" w:rsidRDefault="00743642" w:rsidP="00743642">
            <w:r w:rsidRPr="00D35552">
              <w:t>2. a</w:t>
            </w:r>
          </w:p>
          <w:p w:rsidR="00743642" w:rsidRPr="00D35552" w:rsidRDefault="00743642" w:rsidP="00743642">
            <w:r w:rsidRPr="00D35552">
              <w:t>4. a, b</w:t>
            </w:r>
          </w:p>
          <w:p w:rsidR="00FA0A1E" w:rsidRDefault="00743642" w:rsidP="004C1AAD">
            <w:r w:rsidRPr="00D35552">
              <w:t>6. a, b</w:t>
            </w:r>
          </w:p>
        </w:tc>
      </w:tr>
      <w:tr w:rsidR="00FA0A1E" w:rsidTr="0001459C">
        <w:tc>
          <w:tcPr>
            <w:tcW w:w="1710" w:type="dxa"/>
          </w:tcPr>
          <w:p w:rsidR="00FA0A1E" w:rsidRPr="00967533" w:rsidRDefault="00FA0A1E" w:rsidP="00847E3C">
            <w:pPr>
              <w:rPr>
                <w:b/>
              </w:rPr>
            </w:pPr>
            <w:r w:rsidRPr="00A83110">
              <w:rPr>
                <w:b/>
              </w:rPr>
              <w:t>Resources:</w:t>
            </w:r>
          </w:p>
        </w:tc>
        <w:tc>
          <w:tcPr>
            <w:tcW w:w="8331" w:type="dxa"/>
          </w:tcPr>
          <w:p w:rsidR="00743642" w:rsidRDefault="00743642" w:rsidP="00743642">
            <w:r>
              <w:t>Etoys Help Quick Guides: always available in Etoys. Open Etoys and click the question mark to open a set of interactive tutorials of basic tools and techniques.</w:t>
            </w:r>
          </w:p>
          <w:p w:rsidR="00743642" w:rsidRPr="00774F6A" w:rsidRDefault="00816E66" w:rsidP="00743642">
            <w:hyperlink r:id="rId9" w:history="1">
              <w:r w:rsidR="00743642" w:rsidRPr="0012409F">
                <w:rPr>
                  <w:rStyle w:val="Hyperlink"/>
                </w:rPr>
                <w:t>www.etoysillinois.org</w:t>
              </w:r>
            </w:hyperlink>
            <w:r w:rsidR="00743642">
              <w:t xml:space="preserve">  projects, </w:t>
            </w:r>
            <w:r w:rsidR="00743642" w:rsidRPr="00774F6A">
              <w:t>lesson plans</w:t>
            </w:r>
            <w:r w:rsidR="00743642">
              <w:t>, software download</w:t>
            </w:r>
          </w:p>
          <w:p w:rsidR="00743642" w:rsidRDefault="00816E66" w:rsidP="00743642">
            <w:hyperlink r:id="rId10" w:history="1">
              <w:r w:rsidR="00743642" w:rsidRPr="0012409F">
                <w:rPr>
                  <w:rStyle w:val="Hyperlink"/>
                </w:rPr>
                <w:t>www.mste.Illinois.org</w:t>
              </w:r>
            </w:hyperlink>
            <w:r w:rsidR="00743642">
              <w:t xml:space="preserve"> more math, science, and technology resources</w:t>
            </w:r>
          </w:p>
          <w:p w:rsidR="00743642" w:rsidRPr="00F30E17" w:rsidRDefault="00816E66" w:rsidP="00743642">
            <w:hyperlink r:id="rId11" w:history="1">
              <w:r w:rsidR="00743642" w:rsidRPr="0012409F">
                <w:rPr>
                  <w:rStyle w:val="Hyperlink"/>
                </w:rPr>
                <w:t>www.corestandards.org</w:t>
              </w:r>
            </w:hyperlink>
            <w:r w:rsidR="00743642">
              <w:t xml:space="preserve"> Common Core Standards </w:t>
            </w:r>
            <w:r w:rsidR="00743642">
              <w:tab/>
            </w:r>
          </w:p>
          <w:p w:rsidR="00743642" w:rsidRPr="00B90392" w:rsidRDefault="00816E66" w:rsidP="00743642">
            <w:hyperlink r:id="rId12" w:history="1">
              <w:r w:rsidR="00743642" w:rsidRPr="0012409F">
                <w:rPr>
                  <w:rStyle w:val="Hyperlink"/>
                </w:rPr>
                <w:t>www.squeakland.org</w:t>
              </w:r>
            </w:hyperlink>
            <w:r w:rsidR="00743642">
              <w:t xml:space="preserve"> software and Etoys projects </w:t>
            </w:r>
          </w:p>
          <w:p w:rsidR="00FA0A1E" w:rsidRPr="007E6367" w:rsidRDefault="00816E66" w:rsidP="00743642">
            <w:pPr>
              <w:rPr>
                <w:b/>
              </w:rPr>
            </w:pPr>
            <w:hyperlink r:id="rId13" w:history="1">
              <w:r w:rsidR="00743642" w:rsidRPr="0012409F">
                <w:rPr>
                  <w:rStyle w:val="Hyperlink"/>
                </w:rPr>
                <w:t>www.nctm.org</w:t>
              </w:r>
            </w:hyperlink>
            <w:r w:rsidR="00743642">
              <w:rPr>
                <w:b/>
              </w:rPr>
              <w:t xml:space="preserve"> </w:t>
            </w:r>
            <w:r w:rsidR="00743642" w:rsidRPr="00B90392">
              <w:t>Standards and Focal Points</w:t>
            </w:r>
            <w:r w:rsidR="00743642">
              <w:t xml:space="preserve"> for each </w:t>
            </w:r>
            <w:r w:rsidR="00743642" w:rsidRPr="00B90392">
              <w:t>grade level</w:t>
            </w:r>
          </w:p>
        </w:tc>
      </w:tr>
      <w:tr w:rsidR="00FA0A1E" w:rsidTr="0001459C">
        <w:tc>
          <w:tcPr>
            <w:tcW w:w="1710" w:type="dxa"/>
          </w:tcPr>
          <w:p w:rsidR="00FA0A1E" w:rsidRPr="007E4235" w:rsidRDefault="00743642" w:rsidP="00847E3C">
            <w:r>
              <w:rPr>
                <w:sz w:val="20"/>
                <w:szCs w:val="20"/>
              </w:rPr>
              <w:t>k</w:t>
            </w:r>
            <w:r w:rsidRPr="00743642">
              <w:rPr>
                <w:sz w:val="20"/>
                <w:szCs w:val="20"/>
              </w:rPr>
              <w:t>h January</w:t>
            </w:r>
            <w:r>
              <w:t xml:space="preserve"> </w:t>
            </w:r>
            <w:r w:rsidRPr="00743642">
              <w:rPr>
                <w:sz w:val="20"/>
                <w:szCs w:val="20"/>
              </w:rPr>
              <w:t>2011</w:t>
            </w:r>
          </w:p>
        </w:tc>
        <w:tc>
          <w:tcPr>
            <w:tcW w:w="8331" w:type="dxa"/>
          </w:tcPr>
          <w:p w:rsidR="00FA0A1E" w:rsidRDefault="00FA0A1E" w:rsidP="00847E3C"/>
        </w:tc>
      </w:tr>
    </w:tbl>
    <w:p w:rsidR="00D453F3" w:rsidRDefault="00D453F3" w:rsidP="00D453F3"/>
    <w:p w:rsidR="00D453F3" w:rsidRDefault="00D453F3" w:rsidP="00D453F3">
      <w:r>
        <w:tab/>
      </w:r>
    </w:p>
    <w:p w:rsidR="00D453F3" w:rsidRDefault="00D453F3" w:rsidP="00D453F3">
      <w:r>
        <w:tab/>
      </w:r>
      <w:r>
        <w:tab/>
      </w:r>
    </w:p>
    <w:p w:rsidR="00D453F3" w:rsidRDefault="00D453F3" w:rsidP="00D453F3">
      <w:r>
        <w:tab/>
      </w:r>
      <w:r>
        <w:tab/>
      </w:r>
      <w:r>
        <w:tab/>
      </w:r>
    </w:p>
    <w:p w:rsidR="001B2FB3" w:rsidRDefault="00A87D06">
      <w:r>
        <w:tab/>
      </w:r>
      <w:r>
        <w:tab/>
      </w:r>
      <w:r>
        <w:tab/>
      </w:r>
    </w:p>
    <w:sectPr w:rsidR="001B2FB3" w:rsidSect="00E23886">
      <w:headerReference w:type="default" r:id="rId14"/>
      <w:footerReference w:type="even" r:id="rId15"/>
      <w:footerReference w:type="default" r:id="rId16"/>
      <w:pgSz w:w="12240" w:h="15840"/>
      <w:pgMar w:top="1728"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49" w:rsidRDefault="00A75349">
      <w:r>
        <w:separator/>
      </w:r>
    </w:p>
  </w:endnote>
  <w:endnote w:type="continuationSeparator" w:id="0">
    <w:p w:rsidR="00A75349" w:rsidRDefault="00A75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7A" w:rsidRDefault="00816E66" w:rsidP="00A358C1">
    <w:pPr>
      <w:pStyle w:val="Footer"/>
      <w:framePr w:wrap="around" w:vAnchor="text" w:hAnchor="margin" w:xAlign="right" w:y="1"/>
      <w:rPr>
        <w:rStyle w:val="PageNumber"/>
      </w:rPr>
    </w:pPr>
    <w:r>
      <w:rPr>
        <w:rStyle w:val="PageNumber"/>
      </w:rPr>
      <w:fldChar w:fldCharType="begin"/>
    </w:r>
    <w:r w:rsidR="001B6F7A">
      <w:rPr>
        <w:rStyle w:val="PageNumber"/>
      </w:rPr>
      <w:instrText xml:space="preserve">PAGE  </w:instrText>
    </w:r>
    <w:r>
      <w:rPr>
        <w:rStyle w:val="PageNumber"/>
      </w:rPr>
      <w:fldChar w:fldCharType="end"/>
    </w:r>
  </w:p>
  <w:p w:rsidR="001B6F7A" w:rsidRDefault="001B6F7A" w:rsidP="00B867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7A" w:rsidRDefault="00816E66" w:rsidP="00A358C1">
    <w:pPr>
      <w:pStyle w:val="Footer"/>
      <w:framePr w:wrap="around" w:vAnchor="text" w:hAnchor="margin" w:xAlign="right" w:y="1"/>
      <w:rPr>
        <w:rStyle w:val="PageNumber"/>
      </w:rPr>
    </w:pPr>
    <w:r>
      <w:rPr>
        <w:rStyle w:val="PageNumber"/>
      </w:rPr>
      <w:fldChar w:fldCharType="begin"/>
    </w:r>
    <w:r w:rsidR="001B6F7A">
      <w:rPr>
        <w:rStyle w:val="PageNumber"/>
      </w:rPr>
      <w:instrText xml:space="preserve">PAGE  </w:instrText>
    </w:r>
    <w:r>
      <w:rPr>
        <w:rStyle w:val="PageNumber"/>
      </w:rPr>
      <w:fldChar w:fldCharType="separate"/>
    </w:r>
    <w:r w:rsidR="00121C2D">
      <w:rPr>
        <w:rStyle w:val="PageNumber"/>
        <w:noProof/>
      </w:rPr>
      <w:t>5</w:t>
    </w:r>
    <w:r>
      <w:rPr>
        <w:rStyle w:val="PageNumber"/>
      </w:rPr>
      <w:fldChar w:fldCharType="end"/>
    </w:r>
  </w:p>
  <w:p w:rsidR="001B6F7A" w:rsidRPr="00F766F4" w:rsidRDefault="001B6F7A" w:rsidP="00B86766">
    <w:pPr>
      <w:pStyle w:val="Header"/>
      <w:ind w:right="360"/>
      <w:jc w:val="center"/>
      <w:rPr>
        <w:sz w:val="20"/>
        <w:szCs w:val="20"/>
      </w:rPr>
    </w:pPr>
    <w:r w:rsidRPr="00011CA6">
      <w:rPr>
        <w:sz w:val="20"/>
        <w:szCs w:val="20"/>
      </w:rPr>
      <w:t>The Office for Mathematics, Sc</w:t>
    </w:r>
    <w:r>
      <w:rPr>
        <w:sz w:val="20"/>
        <w:szCs w:val="20"/>
      </w:rPr>
      <w:t>ience, and Technology Education</w:t>
    </w:r>
  </w:p>
  <w:p w:rsidR="001B6F7A" w:rsidRDefault="008F315E" w:rsidP="00F766F4">
    <w:pPr>
      <w:pStyle w:val="Footer"/>
      <w:jc w:val="center"/>
    </w:pPr>
    <w:r>
      <w:rPr>
        <w:noProof/>
      </w:rPr>
      <w:drawing>
        <wp:inline distT="0" distB="0" distL="0" distR="0">
          <wp:extent cx="1600200" cy="266700"/>
          <wp:effectExtent l="19050" t="0" r="0" b="0"/>
          <wp:docPr id="3" name="Picture 3"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49" w:rsidRDefault="00A75349">
      <w:r>
        <w:separator/>
      </w:r>
    </w:p>
  </w:footnote>
  <w:footnote w:type="continuationSeparator" w:id="0">
    <w:p w:rsidR="00A75349" w:rsidRDefault="00A75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7A" w:rsidRPr="00F766F4" w:rsidRDefault="001B6F7A" w:rsidP="00A87D06">
    <w:pPr>
      <w:pStyle w:val="Header"/>
      <w:jc w:val="center"/>
      <w:rPr>
        <w:sz w:val="20"/>
        <w:szCs w:val="20"/>
      </w:rPr>
    </w:pPr>
    <w:r w:rsidRPr="00F766F4">
      <w:rPr>
        <w:sz w:val="20"/>
        <w:szCs w:val="20"/>
      </w:rPr>
      <w:t>Etoys Computer Science for Kindergarten to Fifth Grade</w:t>
    </w:r>
  </w:p>
  <w:p w:rsidR="001B6F7A" w:rsidRPr="00F766F4" w:rsidRDefault="001B6F7A" w:rsidP="00A87D06">
    <w:pPr>
      <w:pStyle w:val="Header"/>
      <w:jc w:val="center"/>
      <w:rPr>
        <w:sz w:val="20"/>
        <w:szCs w:val="20"/>
      </w:rPr>
    </w:pPr>
    <w:r w:rsidRPr="00F766F4">
      <w:rPr>
        <w:sz w:val="20"/>
        <w:szCs w:val="20"/>
      </w:rPr>
      <w:t>Pathways to Programming</w:t>
    </w:r>
  </w:p>
  <w:p w:rsidR="001B6F7A" w:rsidRDefault="001B6F7A" w:rsidP="00A87D06">
    <w:pPr>
      <w:pStyle w:val="Header"/>
      <w:jc w:val="center"/>
      <w:rPr>
        <w:sz w:val="20"/>
        <w:szCs w:val="20"/>
      </w:rPr>
    </w:pPr>
    <w:r w:rsidRPr="00F766F4">
      <w:rPr>
        <w:sz w:val="20"/>
        <w:szCs w:val="20"/>
      </w:rPr>
      <w:t>EtoysCS4K5</w:t>
    </w:r>
  </w:p>
  <w:p w:rsidR="00D21497" w:rsidRPr="00F766F4" w:rsidRDefault="00D21497"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1459C"/>
    <w:rsid w:val="00056B3D"/>
    <w:rsid w:val="00077961"/>
    <w:rsid w:val="000D3CEF"/>
    <w:rsid w:val="000F223B"/>
    <w:rsid w:val="00121C2D"/>
    <w:rsid w:val="00131599"/>
    <w:rsid w:val="00136275"/>
    <w:rsid w:val="001B2FB3"/>
    <w:rsid w:val="001B6F7A"/>
    <w:rsid w:val="001D1D26"/>
    <w:rsid w:val="001F236A"/>
    <w:rsid w:val="00220DB2"/>
    <w:rsid w:val="0022273D"/>
    <w:rsid w:val="00224A28"/>
    <w:rsid w:val="00251CE0"/>
    <w:rsid w:val="00265652"/>
    <w:rsid w:val="0026773F"/>
    <w:rsid w:val="002829A9"/>
    <w:rsid w:val="002A1886"/>
    <w:rsid w:val="002B5F72"/>
    <w:rsid w:val="003236B6"/>
    <w:rsid w:val="00323849"/>
    <w:rsid w:val="00372A16"/>
    <w:rsid w:val="00394491"/>
    <w:rsid w:val="00401D8E"/>
    <w:rsid w:val="004277F9"/>
    <w:rsid w:val="004C1AAD"/>
    <w:rsid w:val="004D3CB8"/>
    <w:rsid w:val="004D7642"/>
    <w:rsid w:val="00523FC7"/>
    <w:rsid w:val="00550419"/>
    <w:rsid w:val="00570CA0"/>
    <w:rsid w:val="0057722D"/>
    <w:rsid w:val="00581E9F"/>
    <w:rsid w:val="00602EE2"/>
    <w:rsid w:val="0060648C"/>
    <w:rsid w:val="00630AD2"/>
    <w:rsid w:val="00643A13"/>
    <w:rsid w:val="006E327F"/>
    <w:rsid w:val="00704F73"/>
    <w:rsid w:val="007146C9"/>
    <w:rsid w:val="00742B87"/>
    <w:rsid w:val="00743642"/>
    <w:rsid w:val="00744022"/>
    <w:rsid w:val="00767953"/>
    <w:rsid w:val="00774F6A"/>
    <w:rsid w:val="007A3951"/>
    <w:rsid w:val="007E6367"/>
    <w:rsid w:val="00816E66"/>
    <w:rsid w:val="00826068"/>
    <w:rsid w:val="00847E3C"/>
    <w:rsid w:val="00884350"/>
    <w:rsid w:val="008F315E"/>
    <w:rsid w:val="00916331"/>
    <w:rsid w:val="009B0D38"/>
    <w:rsid w:val="009D05ED"/>
    <w:rsid w:val="009E61B2"/>
    <w:rsid w:val="00A01873"/>
    <w:rsid w:val="00A358C1"/>
    <w:rsid w:val="00A75349"/>
    <w:rsid w:val="00A87D06"/>
    <w:rsid w:val="00AB43C9"/>
    <w:rsid w:val="00AE38ED"/>
    <w:rsid w:val="00AF53F7"/>
    <w:rsid w:val="00B022F4"/>
    <w:rsid w:val="00B07DB8"/>
    <w:rsid w:val="00B86766"/>
    <w:rsid w:val="00BC396E"/>
    <w:rsid w:val="00C816F7"/>
    <w:rsid w:val="00C81D76"/>
    <w:rsid w:val="00D21497"/>
    <w:rsid w:val="00D35552"/>
    <w:rsid w:val="00D44E75"/>
    <w:rsid w:val="00D453F3"/>
    <w:rsid w:val="00D5795F"/>
    <w:rsid w:val="00D926F6"/>
    <w:rsid w:val="00DC57C6"/>
    <w:rsid w:val="00DD32CB"/>
    <w:rsid w:val="00E23886"/>
    <w:rsid w:val="00E57BC7"/>
    <w:rsid w:val="00E76D7D"/>
    <w:rsid w:val="00EA4301"/>
    <w:rsid w:val="00EB04DE"/>
    <w:rsid w:val="00EE7B0B"/>
    <w:rsid w:val="00EF3A15"/>
    <w:rsid w:val="00F133FD"/>
    <w:rsid w:val="00F6655F"/>
    <w:rsid w:val="00F766F4"/>
    <w:rsid w:val="00FA0A1E"/>
    <w:rsid w:val="00FC02D7"/>
    <w:rsid w:val="00FF2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B86766"/>
  </w:style>
  <w:style w:type="paragraph" w:styleId="BalloonText">
    <w:name w:val="Balloon Text"/>
    <w:basedOn w:val="Normal"/>
    <w:link w:val="BalloonTextChar"/>
    <w:rsid w:val="007A3951"/>
    <w:rPr>
      <w:rFonts w:ascii="Tahoma" w:hAnsi="Tahoma" w:cs="Tahoma"/>
      <w:sz w:val="16"/>
      <w:szCs w:val="16"/>
    </w:rPr>
  </w:style>
  <w:style w:type="character" w:customStyle="1" w:styleId="BalloonTextChar">
    <w:name w:val="Balloon Text Char"/>
    <w:basedOn w:val="DefaultParagraphFont"/>
    <w:link w:val="BalloonText"/>
    <w:rsid w:val="007A3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tromino" TargetMode="External"/><Relationship Id="rId13" Type="http://schemas.openxmlformats.org/officeDocument/2006/relationships/hyperlink" Target="http://www.nctm.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squeaklan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restandards.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ste.Illinois.org" TargetMode="External"/><Relationship Id="rId4" Type="http://schemas.openxmlformats.org/officeDocument/2006/relationships/footnotes" Target="footnotes.xml"/><Relationship Id="rId9" Type="http://schemas.openxmlformats.org/officeDocument/2006/relationships/hyperlink" Target="http://www.etoysillinois.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8314</CharactersWithSpaces>
  <SharedDoc>false</SharedDoc>
  <HLinks>
    <vt:vector size="24" baseType="variant">
      <vt:variant>
        <vt:i4>3997730</vt:i4>
      </vt:variant>
      <vt:variant>
        <vt:i4>9</vt:i4>
      </vt:variant>
      <vt:variant>
        <vt:i4>0</vt:i4>
      </vt:variant>
      <vt:variant>
        <vt:i4>5</vt:i4>
      </vt:variant>
      <vt:variant>
        <vt:lpwstr>http://www.squeakland.org/</vt:lpwstr>
      </vt:variant>
      <vt:variant>
        <vt:lpwstr/>
      </vt:variant>
      <vt:variant>
        <vt:i4>4259918</vt:i4>
      </vt:variant>
      <vt:variant>
        <vt:i4>6</vt:i4>
      </vt:variant>
      <vt:variant>
        <vt:i4>0</vt:i4>
      </vt:variant>
      <vt:variant>
        <vt:i4>5</vt:i4>
      </vt:variant>
      <vt:variant>
        <vt:lpwstr>http://www.mste.org/</vt:lpwstr>
      </vt:variant>
      <vt:variant>
        <vt:lpwstr/>
      </vt:variant>
      <vt:variant>
        <vt:i4>4390915</vt:i4>
      </vt:variant>
      <vt:variant>
        <vt:i4>3</vt:i4>
      </vt:variant>
      <vt:variant>
        <vt:i4>0</vt:i4>
      </vt:variant>
      <vt:variant>
        <vt:i4>5</vt:i4>
      </vt:variant>
      <vt:variant>
        <vt:lpwstr>http://www.etoysillinois.org/</vt:lpwstr>
      </vt:variant>
      <vt:variant>
        <vt:lpwstr/>
      </vt:variant>
      <vt:variant>
        <vt:i4>8126528</vt:i4>
      </vt:variant>
      <vt:variant>
        <vt:i4>0</vt:i4>
      </vt:variant>
      <vt:variant>
        <vt:i4>0</vt:i4>
      </vt:variant>
      <vt:variant>
        <vt:i4>5</vt:i4>
      </vt:variant>
      <vt:variant>
        <vt:lpwstr>http://www.iste.org/Content/NavigationMenu/NETS/ForStudents/2007Standards/NETS_for_Students_2007.htm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10</cp:revision>
  <dcterms:created xsi:type="dcterms:W3CDTF">2011-01-20T22:51:00Z</dcterms:created>
  <dcterms:modified xsi:type="dcterms:W3CDTF">2011-01-31T13:49:00Z</dcterms:modified>
</cp:coreProperties>
</file>